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4C" w:rsidRPr="0065634C" w:rsidRDefault="0065634C" w:rsidP="0065634C">
      <w:pPr>
        <w:shd w:val="clear" w:color="auto" w:fill="FFFFFF"/>
        <w:spacing w:after="0" w:line="660" w:lineRule="atLeast"/>
        <w:outlineLvl w:val="0"/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</w:pP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>Сертифікація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 xml:space="preserve">: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>п’ять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>акцентів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>для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kern w:val="36"/>
          <w:sz w:val="28"/>
          <w:szCs w:val="28"/>
        </w:rPr>
        <w:t>педагога</w:t>
      </w:r>
      <w:proofErr w:type="spellEnd"/>
    </w:p>
    <w:p w:rsidR="0065634C" w:rsidRPr="0065634C" w:rsidRDefault="0065634C" w:rsidP="0065634C">
      <w:pPr>
        <w:shd w:val="clear" w:color="auto" w:fill="FFFFFF"/>
        <w:spacing w:after="150" w:line="450" w:lineRule="atLeast"/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</w:pP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Складовою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системи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зовнішнього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забезпечення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якості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освіти є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сертифікація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педагогічних працівників.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Для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чого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й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для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кого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її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проводять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чи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всі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зобов’язані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її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 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проходити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, у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скільки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етапів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відбувається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сертифікація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 —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коротко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відповідаємо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на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>запитання</w:t>
      </w:r>
      <w:proofErr w:type="spellEnd"/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6D07DF2A" wp14:editId="5E368668">
            <wp:extent cx="9525" cy="9525"/>
            <wp:effectExtent l="0" t="0" r="0" b="0"/>
            <wp:docPr id="1" name="Рисунок 1" descr="https://e.profkiosk.ru/service_tbn2/es574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es574-il01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4C" w:rsidRPr="0065634C" w:rsidRDefault="0065634C" w:rsidP="0065634C">
      <w:pPr>
        <w:spacing w:line="315" w:lineRule="atLeast"/>
        <w:outlineLvl w:val="2"/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</w:pP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Яка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мета</w:t>
      </w:r>
      <w:proofErr w:type="spellEnd"/>
    </w:p>
    <w:p w:rsidR="0065634C" w:rsidRPr="0065634C" w:rsidRDefault="0065634C" w:rsidP="0065634C">
      <w:pPr>
        <w:spacing w:line="42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Мета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сертифікації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— 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виявляти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й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заохочувати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 педагогічних працівників, які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мають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високий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рівень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педагогічної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майстерності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володіють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методиками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компетентнісного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навчання й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новими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освітніми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технологіями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та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сприяють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їх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поширенню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620947DD" wp14:editId="12D6367C">
            <wp:extent cx="9525" cy="9525"/>
            <wp:effectExtent l="0" t="0" r="0" b="0"/>
            <wp:docPr id="2" name="Рисунок 2" descr="https://e.profkiosk.ru/service_tbn2/es574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es574-il01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4C" w:rsidRPr="0065634C" w:rsidRDefault="0065634C" w:rsidP="0065634C">
      <w:pPr>
        <w:spacing w:line="315" w:lineRule="atLeast"/>
        <w:outlineLvl w:val="2"/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</w:pP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Скільки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етапів</w:t>
      </w:r>
      <w:proofErr w:type="spellEnd"/>
    </w:p>
    <w:p w:rsidR="0065634C" w:rsidRPr="0065634C" w:rsidRDefault="0065634C" w:rsidP="00B53D9C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Сертифікація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передбачає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три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етапи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:</w:t>
      </w:r>
    </w:p>
    <w:p w:rsidR="0065634C" w:rsidRDefault="0065634C" w:rsidP="00B53D9C">
      <w:pPr>
        <w:numPr>
          <w:ilvl w:val="0"/>
          <w:numId w:val="1"/>
        </w:numPr>
        <w:spacing w:line="360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>незалежне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>тестування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організоване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Українським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центром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освіти та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регіональними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центрами.</w:t>
      </w:r>
    </w:p>
    <w:p w:rsidR="00D31FA4" w:rsidRPr="00D31FA4" w:rsidRDefault="00D31FA4" w:rsidP="00D31FA4">
      <w:pPr>
        <w:numPr>
          <w:ilvl w:val="0"/>
          <w:numId w:val="1"/>
        </w:numPr>
        <w:spacing w:after="0" w:line="360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>самооцінювання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 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учасником</w:t>
      </w:r>
      <w:proofErr w:type="spellEnd"/>
      <w:r w:rsidRPr="00D31FA4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сертифікації</w:t>
      </w:r>
      <w:proofErr w:type="spellEnd"/>
      <w:r w:rsidRPr="00D31FA4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власної</w:t>
      </w:r>
      <w:proofErr w:type="spellEnd"/>
      <w:r w:rsidRPr="00D31FA4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педагогічної</w:t>
      </w:r>
      <w:proofErr w:type="spellEnd"/>
      <w:r w:rsidRPr="00D31FA4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майстерності</w:t>
      </w:r>
      <w:proofErr w:type="spellEnd"/>
      <w:r w:rsidRPr="00D31FA4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;</w:t>
      </w:r>
    </w:p>
    <w:p w:rsidR="00D31FA4" w:rsidRPr="0065634C" w:rsidRDefault="00D31FA4" w:rsidP="00D31FA4">
      <w:pPr>
        <w:numPr>
          <w:ilvl w:val="0"/>
          <w:numId w:val="1"/>
        </w:numPr>
        <w:spacing w:after="0" w:line="360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>експертне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ru-RU"/>
        </w:rPr>
        <w:t>оцінювання</w:t>
      </w:r>
      <w:proofErr w:type="spellEnd"/>
      <w:r w:rsidRPr="0065634C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 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професійних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компетентностей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учасників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вивчення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практичного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досвіду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їх роботи,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організововане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Державною службою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освіти та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її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територіальними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органами;</w:t>
      </w:r>
    </w:p>
    <w:p w:rsidR="00D31FA4" w:rsidRPr="0065634C" w:rsidRDefault="00D31FA4" w:rsidP="00D31FA4">
      <w:pPr>
        <w:spacing w:line="360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1916E1FF" wp14:editId="1992CD81">
            <wp:extent cx="9525" cy="9525"/>
            <wp:effectExtent l="0" t="0" r="0" b="0"/>
            <wp:docPr id="3" name="Рисунок 3" descr="https://e.profkiosk.ru/service_tbn2/es574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es574-il01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4C" w:rsidRPr="0065634C" w:rsidRDefault="0065634C" w:rsidP="0065634C">
      <w:pPr>
        <w:spacing w:line="315" w:lineRule="atLeast"/>
        <w:outlineLvl w:val="2"/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</w:pPr>
      <w:proofErr w:type="spellStart"/>
      <w:r w:rsidRPr="0065634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  <w:t>Добровільна</w:t>
      </w:r>
      <w:proofErr w:type="spellEnd"/>
      <w:r w:rsidRPr="0065634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  <w:t>чи</w:t>
      </w:r>
      <w:proofErr w:type="spellEnd"/>
      <w:r w:rsidRPr="0065634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ru-RU"/>
        </w:rPr>
        <w:t>обов’язкова</w:t>
      </w:r>
      <w:proofErr w:type="spellEnd"/>
    </w:p>
    <w:p w:rsidR="0065634C" w:rsidRPr="0065634C" w:rsidRDefault="0065634C" w:rsidP="0065634C">
      <w:pPr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Педагогічні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працівники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беруть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участь у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винятково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ru-RU"/>
        </w:rPr>
        <w:t>добровільних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ru-RU"/>
        </w:rPr>
        <w:t xml:space="preserve"> засадах</w:t>
      </w:r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Реєстрацію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охочих пройти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здійснює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Український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центр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освіти та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регіональні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центри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оцінювання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якості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освіти.</w:t>
      </w:r>
    </w:p>
    <w:p w:rsidR="0065634C" w:rsidRDefault="0065634C" w:rsidP="0065634C">
      <w:pPr>
        <w:spacing w:line="420" w:lineRule="atLeast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Подання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документів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з метою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зареєструватися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проходження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є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підтвердженням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згоди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педагогічного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працівника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обробку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його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персональних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даних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.</w:t>
      </w:r>
    </w:p>
    <w:p w:rsidR="00B53D9C" w:rsidRPr="0065634C" w:rsidRDefault="00B53D9C" w:rsidP="0065634C">
      <w:pPr>
        <w:spacing w:line="420" w:lineRule="atLeast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1DE8BF04" wp14:editId="05AEA2A2">
            <wp:extent cx="9525" cy="9525"/>
            <wp:effectExtent l="0" t="0" r="0" b="0"/>
            <wp:docPr id="4" name="Рисунок 4" descr="https://e.profkiosk.ru/service_tbn2/es574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es574-il01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4C" w:rsidRPr="0065634C" w:rsidRDefault="0065634C" w:rsidP="0065634C">
      <w:pPr>
        <w:spacing w:line="315" w:lineRule="atLeast"/>
        <w:outlineLvl w:val="2"/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  <w:lang w:val="ru-RU"/>
        </w:rPr>
      </w:pPr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  <w:lang w:val="ru-RU"/>
        </w:rPr>
        <w:lastRenderedPageBreak/>
        <w:t xml:space="preserve">Які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  <w:lang w:val="ru-RU"/>
        </w:rPr>
        <w:t>принципи</w:t>
      </w:r>
      <w:proofErr w:type="spellEnd"/>
    </w:p>
    <w:p w:rsidR="0065634C" w:rsidRPr="00190080" w:rsidRDefault="0065634C" w:rsidP="00B53D9C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Сертифікацію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проводять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державною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мовою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дотриманням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засад і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принципів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визначених</w:t>
      </w:r>
      <w:proofErr w:type="spellEnd"/>
      <w:r w:rsidR="00190080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hyperlink r:id="rId6" w:tgtFrame="_blank" w:history="1">
        <w:proofErr w:type="spellStart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  <w:lang w:val="ru-RU"/>
          </w:rPr>
          <w:t>статтею</w:t>
        </w:r>
        <w:proofErr w:type="spellEnd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  <w:lang w:val="ru-RU"/>
          </w:rPr>
          <w:t xml:space="preserve"> </w:t>
        </w:r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6 </w:t>
        </w:r>
        <w:proofErr w:type="spellStart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Закону</w:t>
        </w:r>
        <w:proofErr w:type="spellEnd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 xml:space="preserve"> </w:t>
        </w:r>
        <w:proofErr w:type="spellStart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України</w:t>
        </w:r>
        <w:proofErr w:type="spellEnd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 xml:space="preserve"> «</w:t>
        </w:r>
        <w:proofErr w:type="spellStart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Про</w:t>
        </w:r>
        <w:proofErr w:type="spellEnd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 xml:space="preserve"> </w:t>
        </w:r>
        <w:proofErr w:type="spellStart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освіту</w:t>
        </w:r>
        <w:proofErr w:type="spellEnd"/>
        <w:r w:rsidR="00190080" w:rsidRPr="00190080">
          <w:rPr>
            <w:rFonts w:ascii="Georgia" w:eastAsia="Times New Roman" w:hAnsi="Georgia" w:cs="Times New Roman"/>
            <w:b/>
            <w:bCs/>
            <w:sz w:val="24"/>
            <w:szCs w:val="24"/>
            <w:u w:val="single"/>
          </w:rPr>
          <w:t>»</w:t>
        </w:r>
        <w:r w:rsidR="00190080" w:rsidRPr="00190080">
          <w:rPr>
            <w:rFonts w:ascii="Georgia" w:eastAsia="Times New Roman" w:hAnsi="Georgia" w:cs="Times New Roman"/>
            <w:sz w:val="24"/>
            <w:szCs w:val="24"/>
            <w:u w:val="single"/>
          </w:rPr>
          <w:t> </w:t>
        </w:r>
        <w:proofErr w:type="spellStart"/>
        <w:r w:rsidR="00190080" w:rsidRPr="00190080">
          <w:rPr>
            <w:rFonts w:ascii="Georgia" w:eastAsia="Times New Roman" w:hAnsi="Georgia" w:cs="Times New Roman"/>
            <w:sz w:val="24"/>
            <w:szCs w:val="24"/>
            <w:u w:val="single"/>
          </w:rPr>
          <w:t>від</w:t>
        </w:r>
        <w:proofErr w:type="spellEnd"/>
        <w:r w:rsidR="00190080" w:rsidRPr="00190080">
          <w:rPr>
            <w:rFonts w:ascii="Georgia" w:eastAsia="Times New Roman" w:hAnsi="Georgia" w:cs="Times New Roman"/>
            <w:sz w:val="24"/>
            <w:szCs w:val="24"/>
            <w:u w:val="single"/>
          </w:rPr>
          <w:t xml:space="preserve"> 05.09.2017 № 2145-VIII</w:t>
        </w:r>
      </w:hyperlink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r w:rsidRPr="00190080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90080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зокрема</w:t>
      </w:r>
      <w:proofErr w:type="spellEnd"/>
      <w:r w:rsidRPr="00190080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таких, як: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людиноцентризм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верховенство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права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прозорість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публічність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виконання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управлінських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рішень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відповідальність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підзвітність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управління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освітою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закладів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освіти,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інших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суб’єктів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освітньої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 xml:space="preserve"> діяльності перед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суспільством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  <w:lang w:val="ru-RU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академічна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доброчесність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академічна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свобода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after="105"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гуманізм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65634C" w:rsidRPr="0065634C" w:rsidRDefault="0065634C" w:rsidP="00B53D9C">
      <w:pPr>
        <w:numPr>
          <w:ilvl w:val="0"/>
          <w:numId w:val="2"/>
        </w:numPr>
        <w:spacing w:line="276" w:lineRule="auto"/>
        <w:ind w:left="-225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демократизм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тощо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Arial" w:eastAsia="Times New Roman" w:hAnsi="Arial" w:cs="Arial"/>
          <w:color w:val="6F6F6F"/>
          <w:sz w:val="24"/>
          <w:szCs w:val="24"/>
          <w:bdr w:val="single" w:sz="6" w:space="2" w:color="E1E1E1" w:frame="1"/>
          <w:shd w:val="clear" w:color="auto" w:fill="FFFFFF"/>
        </w:rPr>
        <w:t>+</w:t>
      </w:r>
    </w:p>
    <w:p w:rsidR="0065634C" w:rsidRPr="0065634C" w:rsidRDefault="0065634C" w:rsidP="0065634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65634C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04F4CBF5" wp14:editId="56B09253">
            <wp:extent cx="9525" cy="9525"/>
            <wp:effectExtent l="0" t="0" r="0" b="0"/>
            <wp:docPr id="5" name="Рисунок 5" descr="https://e.profkiosk.ru/service_tbn2/es574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s574-il01-f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4C" w:rsidRPr="0065634C" w:rsidRDefault="0065634C" w:rsidP="0065634C">
      <w:pPr>
        <w:spacing w:line="315" w:lineRule="atLeast"/>
        <w:outlineLvl w:val="2"/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</w:pP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Хто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має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право</w:t>
      </w:r>
      <w:proofErr w:type="spellEnd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 xml:space="preserve"> </w:t>
      </w:r>
      <w:proofErr w:type="spellStart"/>
      <w:r w:rsidRPr="0065634C">
        <w:rPr>
          <w:rFonts w:ascii="Arial" w:eastAsia="Times New Roman" w:hAnsi="Arial" w:cs="Arial"/>
          <w:b/>
          <w:bCs/>
          <w:i/>
          <w:color w:val="1F4E79" w:themeColor="accent1" w:themeShade="80"/>
          <w:sz w:val="24"/>
          <w:szCs w:val="24"/>
        </w:rPr>
        <w:t>проходити</w:t>
      </w:r>
      <w:proofErr w:type="spellEnd"/>
    </w:p>
    <w:p w:rsidR="0065634C" w:rsidRPr="0065634C" w:rsidRDefault="0065634C" w:rsidP="0065634C">
      <w:pPr>
        <w:spacing w:line="42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Учасник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сертифікації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— це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педагогічний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працівник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який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на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момент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реєстрації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має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стаж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педагогічної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роботи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на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відповідній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посаді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не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менше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двох</w:t>
      </w:r>
      <w:proofErr w:type="spellEnd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34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років</w:t>
      </w:r>
      <w:proofErr w:type="spellEnd"/>
      <w:r w:rsidRPr="0065634C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123287" w:rsidRPr="0065634C" w:rsidRDefault="00123287" w:rsidP="0065634C">
      <w:pPr>
        <w:rPr>
          <w:sz w:val="24"/>
          <w:szCs w:val="24"/>
        </w:rPr>
      </w:pPr>
    </w:p>
    <w:sectPr w:rsidR="00123287" w:rsidRPr="006563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E31"/>
    <w:multiLevelType w:val="multilevel"/>
    <w:tmpl w:val="EFEA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805B1"/>
    <w:multiLevelType w:val="multilevel"/>
    <w:tmpl w:val="016A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4C"/>
    <w:rsid w:val="00123287"/>
    <w:rsid w:val="00190080"/>
    <w:rsid w:val="0065634C"/>
    <w:rsid w:val="00B53D9C"/>
    <w:rsid w:val="00D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E09C"/>
  <w15:chartTrackingRefBased/>
  <w15:docId w15:val="{0F780C2B-9FE2-4FE8-A956-7BA31BD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1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588">
              <w:marLeft w:val="-225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28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4325">
              <w:marLeft w:val="-225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282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686818">
              <w:marLeft w:val="0"/>
              <w:marRight w:val="405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47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2064">
              <w:marLeft w:val="-225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932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050809">
              <w:marLeft w:val="-225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687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3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726">
              <w:marLeft w:val="-225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402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vuch.mcfr.ua/npd-doc.aspx?npmid=94&amp;npid=39914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8</cp:revision>
  <dcterms:created xsi:type="dcterms:W3CDTF">2020-10-20T06:47:00Z</dcterms:created>
  <dcterms:modified xsi:type="dcterms:W3CDTF">2022-12-21T11:48:00Z</dcterms:modified>
</cp:coreProperties>
</file>