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C4" w:rsidRPr="003013E2" w:rsidRDefault="006810C4" w:rsidP="006810C4">
      <w:pPr>
        <w:shd w:val="clear" w:color="auto" w:fill="FFFFFF"/>
        <w:spacing w:after="0" w:line="240" w:lineRule="auto"/>
        <w:rPr>
          <w:rFonts w:ascii="Times New Roman" w:eastAsia="Times New Roman" w:hAnsi="Times New Roman" w:cs="Times New Roman"/>
          <w:bCs/>
          <w:color w:val="000000"/>
          <w:sz w:val="28"/>
          <w:szCs w:val="28"/>
          <w:lang w:eastAsia="ru-RU"/>
        </w:rPr>
      </w:pPr>
      <w:r w:rsidRPr="003013E2">
        <w:rPr>
          <w:rFonts w:ascii="Times New Roman" w:eastAsia="Times New Roman" w:hAnsi="Times New Roman" w:cs="Times New Roman"/>
          <w:bCs/>
          <w:color w:val="000000"/>
          <w:sz w:val="28"/>
          <w:szCs w:val="28"/>
          <w:lang w:eastAsia="ru-RU"/>
        </w:rPr>
        <w:t>«УХВАЛЕНО»</w:t>
      </w:r>
    </w:p>
    <w:p w:rsidR="006810C4" w:rsidRPr="003013E2" w:rsidRDefault="006810C4" w:rsidP="006810C4">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3013E2">
        <w:rPr>
          <w:rFonts w:ascii="Times New Roman" w:eastAsia="Times New Roman" w:hAnsi="Times New Roman" w:cs="Times New Roman"/>
          <w:bCs/>
          <w:color w:val="000000"/>
          <w:sz w:val="28"/>
          <w:szCs w:val="28"/>
          <w:lang w:eastAsia="ru-RU"/>
        </w:rPr>
        <w:lastRenderedPageBreak/>
        <w:t>«ПОГОДЖЕНО»</w:t>
      </w:r>
    </w:p>
    <w:p w:rsidR="006810C4" w:rsidRPr="003013E2" w:rsidRDefault="006810C4" w:rsidP="006810C4">
      <w:pPr>
        <w:shd w:val="clear" w:color="auto" w:fill="FFFFFF"/>
        <w:spacing w:after="0" w:line="240" w:lineRule="auto"/>
        <w:jc w:val="center"/>
        <w:rPr>
          <w:rFonts w:ascii="Times New Roman" w:eastAsia="Times New Roman" w:hAnsi="Times New Roman" w:cs="Times New Roman"/>
          <w:bCs/>
          <w:color w:val="000000"/>
          <w:sz w:val="28"/>
          <w:szCs w:val="28"/>
          <w:lang w:eastAsia="ru-RU"/>
        </w:rPr>
      </w:pPr>
      <w:bookmarkStart w:id="0" w:name="_GoBack"/>
      <w:bookmarkEnd w:id="0"/>
      <w:r w:rsidRPr="003013E2">
        <w:rPr>
          <w:rFonts w:ascii="Times New Roman" w:eastAsia="Times New Roman" w:hAnsi="Times New Roman" w:cs="Times New Roman"/>
          <w:bCs/>
          <w:color w:val="000000"/>
          <w:sz w:val="28"/>
          <w:szCs w:val="28"/>
          <w:lang w:eastAsia="ru-RU"/>
        </w:rPr>
        <w:lastRenderedPageBreak/>
        <w:t>«ЗАТВЕРДЖЕНО»</w:t>
      </w:r>
    </w:p>
    <w:p w:rsidR="006810C4" w:rsidRPr="003013E2" w:rsidRDefault="006810C4" w:rsidP="006810C4">
      <w:pPr>
        <w:shd w:val="clear" w:color="auto" w:fill="FFFFFF"/>
        <w:spacing w:after="0" w:line="240" w:lineRule="auto"/>
        <w:jc w:val="center"/>
        <w:rPr>
          <w:rFonts w:ascii="Times New Roman" w:eastAsia="Times New Roman" w:hAnsi="Times New Roman" w:cs="Times New Roman"/>
          <w:bCs/>
          <w:color w:val="000000"/>
          <w:sz w:val="28"/>
          <w:szCs w:val="28"/>
          <w:lang w:eastAsia="ru-RU"/>
        </w:rPr>
        <w:sectPr w:rsidR="006810C4" w:rsidRPr="003013E2" w:rsidSect="00A428B7">
          <w:footerReference w:type="default" r:id="rId6"/>
          <w:pgSz w:w="11906" w:h="16838"/>
          <w:pgMar w:top="850" w:right="850" w:bottom="850" w:left="1417" w:header="708" w:footer="708" w:gutter="0"/>
          <w:cols w:num="3" w:space="144"/>
          <w:docGrid w:linePitch="360"/>
        </w:sectPr>
      </w:pPr>
    </w:p>
    <w:p w:rsidR="006810C4" w:rsidRPr="003013E2" w:rsidRDefault="006810C4" w:rsidP="006810C4">
      <w:pPr>
        <w:shd w:val="clear" w:color="auto" w:fill="FFFFFF"/>
        <w:tabs>
          <w:tab w:val="left" w:pos="3261"/>
        </w:tabs>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Голова учнівської ради</w:t>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t xml:space="preserve">    Голова батьківської             Директор школи</w:t>
      </w:r>
    </w:p>
    <w:p w:rsidR="006810C4" w:rsidRPr="003013E2" w:rsidRDefault="00422E07" w:rsidP="006810C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Янчин В.</w:t>
      </w:r>
      <w:r w:rsidR="006810C4" w:rsidRPr="003013E2">
        <w:rPr>
          <w:rFonts w:ascii="Times New Roman" w:eastAsia="Times New Roman" w:hAnsi="Times New Roman" w:cs="Times New Roman"/>
          <w:bCs/>
          <w:color w:val="000000"/>
          <w:sz w:val="28"/>
          <w:szCs w:val="28"/>
          <w:lang w:eastAsia="ru-RU"/>
        </w:rPr>
        <w:t xml:space="preserve"> </w:t>
      </w:r>
      <w:r w:rsidR="006810C4" w:rsidRPr="003013E2">
        <w:rPr>
          <w:rFonts w:ascii="Times New Roman" w:eastAsia="Times New Roman" w:hAnsi="Times New Roman" w:cs="Times New Roman"/>
          <w:bCs/>
          <w:color w:val="000000"/>
          <w:sz w:val="28"/>
          <w:szCs w:val="28"/>
          <w:lang w:eastAsia="ru-RU"/>
        </w:rPr>
        <w:tab/>
      </w:r>
      <w:r w:rsidR="006810C4" w:rsidRPr="003013E2">
        <w:rPr>
          <w:rFonts w:ascii="Times New Roman" w:eastAsia="Times New Roman" w:hAnsi="Times New Roman" w:cs="Times New Roman"/>
          <w:bCs/>
          <w:color w:val="000000"/>
          <w:sz w:val="28"/>
          <w:szCs w:val="28"/>
          <w:lang w:eastAsia="ru-RU"/>
        </w:rPr>
        <w:tab/>
      </w:r>
      <w:r w:rsidR="006810C4">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006810C4">
        <w:rPr>
          <w:rFonts w:ascii="Times New Roman" w:eastAsia="Times New Roman" w:hAnsi="Times New Roman" w:cs="Times New Roman"/>
          <w:bCs/>
          <w:color w:val="000000"/>
          <w:sz w:val="28"/>
          <w:szCs w:val="28"/>
          <w:lang w:eastAsia="ru-RU"/>
        </w:rPr>
        <w:t>ради</w:t>
      </w:r>
      <w:r w:rsidR="006810C4">
        <w:rPr>
          <w:rFonts w:ascii="Times New Roman" w:eastAsia="Times New Roman" w:hAnsi="Times New Roman" w:cs="Times New Roman"/>
          <w:bCs/>
          <w:color w:val="000000"/>
          <w:sz w:val="28"/>
          <w:szCs w:val="28"/>
          <w:lang w:eastAsia="ru-RU"/>
        </w:rPr>
        <w:tab/>
      </w:r>
    </w:p>
    <w:p w:rsidR="006810C4" w:rsidRPr="003013E2" w:rsidRDefault="00422E07" w:rsidP="006810C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6810C4">
        <w:rPr>
          <w:rFonts w:ascii="Times New Roman" w:eastAsia="Times New Roman" w:hAnsi="Times New Roman" w:cs="Times New Roman"/>
          <w:bCs/>
          <w:color w:val="000000"/>
          <w:sz w:val="28"/>
          <w:szCs w:val="28"/>
          <w:lang w:eastAsia="ru-RU"/>
        </w:rPr>
        <w:tab/>
      </w:r>
      <w:r w:rsidR="006810C4">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 xml:space="preserve">                                        </w:t>
      </w:r>
      <w:r w:rsidR="006810C4">
        <w:rPr>
          <w:rFonts w:ascii="Times New Roman" w:eastAsia="Times New Roman" w:hAnsi="Times New Roman" w:cs="Times New Roman"/>
          <w:bCs/>
          <w:color w:val="000000"/>
          <w:sz w:val="28"/>
          <w:szCs w:val="28"/>
          <w:lang w:eastAsia="ru-RU"/>
        </w:rPr>
        <w:t>І.В. Клим</w:t>
      </w:r>
      <w:r w:rsidR="006810C4">
        <w:rPr>
          <w:rFonts w:ascii="Times New Roman" w:eastAsia="Times New Roman" w:hAnsi="Times New Roman" w:cs="Times New Roman"/>
          <w:bCs/>
          <w:color w:val="000000"/>
          <w:sz w:val="28"/>
          <w:szCs w:val="28"/>
          <w:lang w:eastAsia="ru-RU"/>
        </w:rPr>
        <w:tab/>
      </w:r>
      <w:r w:rsidR="006810C4">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 xml:space="preserve">             </w:t>
      </w:r>
      <w:r w:rsidR="006810C4">
        <w:rPr>
          <w:rFonts w:ascii="Times New Roman" w:eastAsia="Times New Roman" w:hAnsi="Times New Roman" w:cs="Times New Roman"/>
          <w:bCs/>
          <w:color w:val="000000"/>
          <w:sz w:val="28"/>
          <w:szCs w:val="28"/>
          <w:lang w:eastAsia="ru-RU"/>
        </w:rPr>
        <w:t>Мартинюк Б.Б.</w:t>
      </w:r>
    </w:p>
    <w:p w:rsidR="006810C4" w:rsidRPr="003013E2" w:rsidRDefault="006810C4" w:rsidP="006810C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____</w:t>
      </w:r>
      <w:r w:rsidR="00422E07">
        <w:rPr>
          <w:rFonts w:ascii="Times New Roman" w:eastAsia="Times New Roman" w:hAnsi="Times New Roman" w:cs="Times New Roman"/>
          <w:bCs/>
          <w:color w:val="000000"/>
          <w:sz w:val="28"/>
          <w:szCs w:val="28"/>
          <w:lang w:eastAsia="ru-RU"/>
        </w:rPr>
        <w:t xml:space="preserve"> жовтня</w:t>
      </w:r>
      <w:r>
        <w:rPr>
          <w:rFonts w:ascii="Times New Roman" w:eastAsia="Times New Roman" w:hAnsi="Times New Roman" w:cs="Times New Roman"/>
          <w:bCs/>
          <w:color w:val="000000"/>
          <w:sz w:val="28"/>
          <w:szCs w:val="28"/>
          <w:lang w:eastAsia="ru-RU"/>
        </w:rPr>
        <w:t xml:space="preserve"> 2020 року</w:t>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t xml:space="preserve">____ </w:t>
      </w:r>
      <w:r w:rsidR="00422E07">
        <w:rPr>
          <w:rFonts w:ascii="Times New Roman" w:eastAsia="Times New Roman" w:hAnsi="Times New Roman" w:cs="Times New Roman"/>
          <w:bCs/>
          <w:color w:val="000000"/>
          <w:sz w:val="28"/>
          <w:szCs w:val="28"/>
          <w:lang w:eastAsia="ru-RU"/>
        </w:rPr>
        <w:t xml:space="preserve">жовтня </w:t>
      </w:r>
      <w:r>
        <w:rPr>
          <w:rFonts w:ascii="Times New Roman" w:eastAsia="Times New Roman" w:hAnsi="Times New Roman" w:cs="Times New Roman"/>
          <w:bCs/>
          <w:color w:val="000000"/>
          <w:sz w:val="28"/>
          <w:szCs w:val="28"/>
          <w:lang w:eastAsia="ru-RU"/>
        </w:rPr>
        <w:t>2020 року</w:t>
      </w:r>
      <w:r>
        <w:rPr>
          <w:rFonts w:ascii="Times New Roman" w:eastAsia="Times New Roman" w:hAnsi="Times New Roman" w:cs="Times New Roman"/>
          <w:bCs/>
          <w:color w:val="000000"/>
          <w:sz w:val="28"/>
          <w:szCs w:val="28"/>
          <w:lang w:eastAsia="ru-RU"/>
        </w:rPr>
        <w:tab/>
      </w:r>
      <w:r>
        <w:rPr>
          <w:rFonts w:ascii="Times New Roman" w:eastAsia="Times New Roman" w:hAnsi="Times New Roman" w:cs="Times New Roman"/>
          <w:bCs/>
          <w:color w:val="000000"/>
          <w:sz w:val="28"/>
          <w:szCs w:val="28"/>
          <w:lang w:eastAsia="ru-RU"/>
        </w:rPr>
        <w:tab/>
        <w:t xml:space="preserve">____ </w:t>
      </w:r>
      <w:r w:rsidR="00422E07">
        <w:rPr>
          <w:rFonts w:ascii="Times New Roman" w:eastAsia="Times New Roman" w:hAnsi="Times New Roman" w:cs="Times New Roman"/>
          <w:bCs/>
          <w:color w:val="000000"/>
          <w:sz w:val="28"/>
          <w:szCs w:val="28"/>
          <w:lang w:eastAsia="ru-RU"/>
        </w:rPr>
        <w:t>жовтня</w:t>
      </w:r>
      <w:r>
        <w:rPr>
          <w:rFonts w:ascii="Times New Roman" w:eastAsia="Times New Roman" w:hAnsi="Times New Roman" w:cs="Times New Roman"/>
          <w:bCs/>
          <w:color w:val="000000"/>
          <w:sz w:val="28"/>
          <w:szCs w:val="28"/>
          <w:lang w:eastAsia="ru-RU"/>
        </w:rPr>
        <w:t xml:space="preserve"> 2020</w:t>
      </w:r>
      <w:r w:rsidRPr="003013E2">
        <w:rPr>
          <w:rFonts w:ascii="Times New Roman" w:eastAsia="Times New Roman" w:hAnsi="Times New Roman" w:cs="Times New Roman"/>
          <w:bCs/>
          <w:color w:val="000000"/>
          <w:sz w:val="28"/>
          <w:szCs w:val="28"/>
          <w:lang w:eastAsia="ru-RU"/>
        </w:rPr>
        <w:t xml:space="preserve"> року</w:t>
      </w:r>
    </w:p>
    <w:p w:rsidR="006810C4" w:rsidRPr="003013E2" w:rsidRDefault="006810C4" w:rsidP="006810C4">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6810C4" w:rsidRPr="003013E2" w:rsidRDefault="006810C4" w:rsidP="006810C4">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shd w:val="clear" w:color="auto" w:fill="FFFFFF"/>
        <w:spacing w:after="0" w:line="300" w:lineRule="atLeast"/>
        <w:jc w:val="center"/>
        <w:textAlignment w:val="baseline"/>
        <w:rPr>
          <w:rFonts w:ascii="Times New Roman" w:eastAsia="Times New Roman" w:hAnsi="Times New Roman" w:cs="Times New Roman"/>
          <w:b/>
          <w:bCs/>
          <w:color w:val="8EB56A"/>
          <w:sz w:val="28"/>
          <w:szCs w:val="28"/>
          <w:lang w:eastAsia="uk-UA"/>
        </w:rPr>
      </w:pP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44"/>
          <w:szCs w:val="28"/>
          <w:lang w:eastAsia="uk-UA"/>
        </w:rPr>
      </w:pPr>
      <w:r w:rsidRPr="00422E07">
        <w:rPr>
          <w:rFonts w:ascii="Comic Sans MS" w:eastAsia="Times New Roman" w:hAnsi="Comic Sans MS" w:cs="Times New Roman"/>
          <w:b/>
          <w:bCs/>
          <w:sz w:val="44"/>
          <w:szCs w:val="28"/>
          <w:lang w:eastAsia="uk-UA"/>
        </w:rPr>
        <w:t>МЕМОРАНДУМ</w:t>
      </w: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44"/>
          <w:szCs w:val="28"/>
          <w:lang w:eastAsia="uk-UA"/>
        </w:rPr>
      </w:pPr>
      <w:r w:rsidRPr="00422E07">
        <w:rPr>
          <w:rFonts w:ascii="Comic Sans MS" w:eastAsia="Times New Roman" w:hAnsi="Comic Sans MS" w:cs="Times New Roman"/>
          <w:b/>
          <w:bCs/>
          <w:sz w:val="44"/>
          <w:szCs w:val="28"/>
          <w:lang w:eastAsia="uk-UA"/>
        </w:rPr>
        <w:t xml:space="preserve"> СПІВПРАЦІ</w:t>
      </w: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32"/>
          <w:szCs w:val="28"/>
          <w:lang w:eastAsia="uk-UA"/>
        </w:rPr>
      </w:pP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32"/>
          <w:szCs w:val="28"/>
          <w:lang w:eastAsia="uk-UA"/>
        </w:rPr>
      </w:pPr>
      <w:r w:rsidRPr="00422E07">
        <w:rPr>
          <w:rFonts w:ascii="Comic Sans MS" w:eastAsia="Times New Roman" w:hAnsi="Comic Sans MS" w:cs="Times New Roman"/>
          <w:b/>
          <w:bCs/>
          <w:sz w:val="32"/>
          <w:szCs w:val="28"/>
          <w:lang w:eastAsia="uk-UA"/>
        </w:rPr>
        <w:t>між учасниками освітнього процесу</w:t>
      </w: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32"/>
          <w:szCs w:val="28"/>
          <w:lang w:eastAsia="uk-UA"/>
        </w:rPr>
      </w:pPr>
      <w:r w:rsidRPr="00422E07">
        <w:rPr>
          <w:rFonts w:ascii="Comic Sans MS" w:eastAsia="Times New Roman" w:hAnsi="Comic Sans MS" w:cs="Times New Roman"/>
          <w:b/>
          <w:bCs/>
          <w:sz w:val="32"/>
          <w:szCs w:val="28"/>
          <w:lang w:eastAsia="uk-UA"/>
        </w:rPr>
        <w:t>ОЗ «Бродівська ЗОШ І-ІІІ ст.№3»:</w:t>
      </w: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sz w:val="28"/>
          <w:szCs w:val="28"/>
          <w:lang w:eastAsia="uk-UA"/>
        </w:rPr>
      </w:pPr>
      <w:r w:rsidRPr="00422E07">
        <w:rPr>
          <w:rFonts w:ascii="Comic Sans MS" w:eastAsia="Times New Roman" w:hAnsi="Comic Sans MS" w:cs="Times New Roman"/>
          <w:b/>
          <w:bCs/>
          <w:sz w:val="32"/>
          <w:szCs w:val="28"/>
          <w:lang w:eastAsia="uk-UA"/>
        </w:rPr>
        <w:t>педагогами, учнями , батьками</w:t>
      </w:r>
    </w:p>
    <w:p w:rsidR="006810C4" w:rsidRPr="00422E07" w:rsidRDefault="006810C4" w:rsidP="006810C4">
      <w:pPr>
        <w:shd w:val="clear" w:color="auto" w:fill="FFFFFF"/>
        <w:spacing w:after="0" w:line="300" w:lineRule="atLeast"/>
        <w:jc w:val="center"/>
        <w:textAlignment w:val="baseline"/>
        <w:rPr>
          <w:rFonts w:ascii="Comic Sans MS" w:eastAsia="Times New Roman" w:hAnsi="Comic Sans MS" w:cs="Times New Roman"/>
          <w:b/>
          <w:bCs/>
          <w:color w:val="8EB56A"/>
          <w:sz w:val="28"/>
          <w:szCs w:val="28"/>
          <w:lang w:eastAsia="uk-UA"/>
        </w:rPr>
      </w:pPr>
    </w:p>
    <w:p w:rsidR="006810C4" w:rsidRDefault="006810C4" w:rsidP="006810C4">
      <w:pPr>
        <w:shd w:val="clear" w:color="auto" w:fill="FFFFFF"/>
        <w:spacing w:after="0" w:line="300" w:lineRule="atLeast"/>
        <w:jc w:val="center"/>
        <w:textAlignment w:val="baseline"/>
        <w:rPr>
          <w:rFonts w:ascii="Times New Roman" w:eastAsia="Times New Roman" w:hAnsi="Times New Roman" w:cs="Times New Roman"/>
          <w:b/>
          <w:bCs/>
          <w:color w:val="8EB56A"/>
          <w:sz w:val="28"/>
          <w:szCs w:val="28"/>
          <w:lang w:eastAsia="uk-UA"/>
        </w:rPr>
      </w:pPr>
    </w:p>
    <w:p w:rsidR="006810C4" w:rsidRDefault="006810C4" w:rsidP="006810C4">
      <w:pPr>
        <w:shd w:val="clear" w:color="auto" w:fill="FFFFFF"/>
        <w:spacing w:after="0" w:line="300" w:lineRule="atLeast"/>
        <w:jc w:val="center"/>
        <w:textAlignment w:val="baseline"/>
        <w:rPr>
          <w:rFonts w:ascii="Times New Roman" w:eastAsia="Times New Roman" w:hAnsi="Times New Roman" w:cs="Times New Roman"/>
          <w:b/>
          <w:bCs/>
          <w:color w:val="8EB56A"/>
          <w:sz w:val="28"/>
          <w:szCs w:val="28"/>
          <w:lang w:eastAsia="uk-UA"/>
        </w:rPr>
      </w:pPr>
    </w:p>
    <w:p w:rsidR="006810C4" w:rsidRDefault="006810C4" w:rsidP="006810C4">
      <w:pPr>
        <w:shd w:val="clear" w:color="auto" w:fill="FFFFFF"/>
        <w:spacing w:after="0" w:line="300" w:lineRule="atLeast"/>
        <w:jc w:val="center"/>
        <w:textAlignment w:val="baseline"/>
        <w:rPr>
          <w:rFonts w:ascii="Times New Roman" w:eastAsia="Times New Roman" w:hAnsi="Times New Roman" w:cs="Times New Roman"/>
          <w:b/>
          <w:bCs/>
          <w:color w:val="8EB56A"/>
          <w:sz w:val="28"/>
          <w:szCs w:val="28"/>
          <w:lang w:eastAsia="uk-UA"/>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Default="006810C4" w:rsidP="00422E07">
      <w:pPr>
        <w:tabs>
          <w:tab w:val="left" w:pos="709"/>
          <w:tab w:val="left" w:pos="851"/>
          <w:tab w:val="left" w:pos="1134"/>
        </w:tabs>
        <w:spacing w:after="0" w:line="240" w:lineRule="auto"/>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rPr>
          <w:rFonts w:ascii="Times New Roman" w:eastAsia="Calibri" w:hAnsi="Times New Roman" w:cs="Times New Roman"/>
          <w:b/>
          <w:color w:val="000000"/>
          <w:sz w:val="28"/>
          <w:szCs w:val="28"/>
        </w:rPr>
      </w:pPr>
    </w:p>
    <w:p w:rsidR="006810C4" w:rsidRDefault="006810C4" w:rsidP="006810C4">
      <w:pPr>
        <w:tabs>
          <w:tab w:val="left" w:pos="709"/>
          <w:tab w:val="left" w:pos="851"/>
          <w:tab w:val="left" w:pos="1134"/>
        </w:tabs>
        <w:spacing w:after="0" w:line="240" w:lineRule="auto"/>
        <w:rPr>
          <w:rFonts w:ascii="Times New Roman" w:eastAsia="Calibri" w:hAnsi="Times New Roman" w:cs="Times New Roman"/>
          <w:b/>
          <w:color w:val="000000"/>
          <w:sz w:val="28"/>
          <w:szCs w:val="28"/>
        </w:rPr>
      </w:pPr>
    </w:p>
    <w:p w:rsidR="006810C4" w:rsidRP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ПРО МЕМОРАНДУМ</w:t>
      </w:r>
    </w:p>
    <w:p w:rsidR="006810C4" w:rsidRPr="003013E2"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Цей Меморанду</w:t>
      </w:r>
      <w:r w:rsidR="00422E07">
        <w:rPr>
          <w:rFonts w:ascii="Times New Roman" w:eastAsia="Calibri" w:hAnsi="Times New Roman" w:cs="Times New Roman"/>
          <w:color w:val="000000"/>
          <w:sz w:val="28"/>
          <w:szCs w:val="28"/>
        </w:rPr>
        <w:t>м має на меті допомогти шкільній спільноті</w:t>
      </w:r>
      <w:r w:rsidRPr="003013E2">
        <w:rPr>
          <w:rFonts w:ascii="Times New Roman" w:eastAsia="Calibri" w:hAnsi="Times New Roman" w:cs="Times New Roman"/>
          <w:color w:val="000000"/>
          <w:sz w:val="28"/>
          <w:szCs w:val="28"/>
        </w:rPr>
        <w:t xml:space="preserve"> дійти згоди і впорядкувати всі аспекти життя школи за новими, сучасними принципами.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422E07">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Він не є новим нормативно-правовим актом, </w:t>
      </w:r>
      <w:r w:rsidR="00422E07">
        <w:rPr>
          <w:rFonts w:ascii="Times New Roman" w:eastAsia="Calibri" w:hAnsi="Times New Roman" w:cs="Times New Roman"/>
          <w:color w:val="000000"/>
          <w:sz w:val="28"/>
          <w:szCs w:val="28"/>
        </w:rPr>
        <w:t xml:space="preserve">але надзвичайно важливим для розвитку школи як демократичної освітньої інстанції. </w:t>
      </w:r>
      <w:r w:rsidRPr="003013E2">
        <w:rPr>
          <w:rFonts w:ascii="Times New Roman" w:eastAsia="Calibri" w:hAnsi="Times New Roman" w:cs="Times New Roman"/>
          <w:color w:val="000000"/>
          <w:sz w:val="28"/>
          <w:szCs w:val="28"/>
        </w:rPr>
        <w:t>Адже лише шляхом домовленостей, урахування всіх інтересів і досягнення консенсусу можна створити в школі сприятливі умови для успішної освіти й комфортного перебування дітей.</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Сьогодні українська система освіти змінюється через дію реформи “</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Нова українська школа</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Стосунки між керівництвом школи, вчителями, батьками і учнями також зазнають змін</w:t>
      </w:r>
      <w:r w:rsidR="00422E07">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 xml:space="preserve"> </w:t>
      </w:r>
    </w:p>
    <w:p w:rsidR="006810C4" w:rsidRPr="003013E2" w:rsidRDefault="006810C4" w:rsidP="00422E07">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Ідеться про зміну умов своєрідного суспільного договору в школі, переосмислення звичних практик та реакцій на проблеми шкільного життя, норм поведінки в школі.</w:t>
      </w:r>
    </w:p>
    <w:p w:rsidR="006810C4" w:rsidRPr="003013E2" w:rsidRDefault="006810C4" w:rsidP="00422E07">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ЗАГАЛЬНІ ПОЛОЖЕННЯ</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Плідна співпраця між усіма учасниками освітнього процесу ґрунтується на таких твердженнях:</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Всі люди народжуються вільними і рівними у своїй гідності та правах. Вони наділені розумом і совістю і повинні діяти у відношенні один до одного в дусі братерства</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xml:space="preserve">”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Стаття 1</w:t>
      </w:r>
      <w:r>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 xml:space="preserve"> Загальної декларації прав людини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Освіта повинна бути спрямована на повний розвиток людської особи і збільшення поваги до прав людини і основних свобод</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xml:space="preserve">”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Частина 2 статті 26</w:t>
      </w:r>
      <w:r>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 xml:space="preserve"> Загальної декларації прав людини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Найкраще забезпечення інтересів дитини має бути керівним принципом для тих, хто несе відповідальність за її освіту і навчання; насамперед таку відповідальність несуть її батьки</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xml:space="preserve">”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Принцип 7 Декларації прав дитини, ухваленої резолюцією 1386 (ХIV) Генеральної Асамблеї ООН від 20 листопада 1959 року</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xml:space="preserve">”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453481" w:rsidRDefault="006810C4" w:rsidP="00453481">
      <w:pPr>
        <w:tabs>
          <w:tab w:val="left" w:pos="709"/>
          <w:tab w:val="left" w:pos="851"/>
          <w:tab w:val="left" w:pos="1134"/>
        </w:tabs>
        <w:spacing w:after="0" w:line="276" w:lineRule="auto"/>
        <w:ind w:left="284"/>
        <w:jc w:val="both"/>
        <w:rPr>
          <w:rFonts w:ascii="Times New Roman" w:eastAsia="Calibri" w:hAnsi="Times New Roman" w:cs="Times New Roman"/>
          <w:b/>
          <w:color w:val="000000"/>
          <w:sz w:val="28"/>
          <w:szCs w:val="28"/>
        </w:rPr>
      </w:pPr>
      <w:r w:rsidRPr="00453481">
        <w:rPr>
          <w:rFonts w:ascii="Times New Roman" w:eastAsia="Calibri" w:hAnsi="Times New Roman" w:cs="Times New Roman"/>
          <w:b/>
          <w:color w:val="000000"/>
          <w:sz w:val="28"/>
          <w:szCs w:val="28"/>
        </w:rPr>
        <w:t>Закон України “</w:t>
      </w:r>
      <w:r w:rsidR="00422E07" w:rsidRPr="00453481">
        <w:rPr>
          <w:rFonts w:ascii="Times New Roman" w:eastAsia="Calibri" w:hAnsi="Times New Roman" w:cs="Times New Roman"/>
          <w:b/>
          <w:color w:val="000000"/>
          <w:sz w:val="28"/>
          <w:szCs w:val="28"/>
        </w:rPr>
        <w:t xml:space="preserve"> </w:t>
      </w:r>
      <w:r w:rsidRPr="00453481">
        <w:rPr>
          <w:rFonts w:ascii="Times New Roman" w:eastAsia="Calibri" w:hAnsi="Times New Roman" w:cs="Times New Roman"/>
          <w:b/>
          <w:color w:val="000000"/>
          <w:sz w:val="28"/>
          <w:szCs w:val="28"/>
        </w:rPr>
        <w:t>Про освіту</w:t>
      </w:r>
      <w:r w:rsidR="00422E07" w:rsidRPr="00453481">
        <w:rPr>
          <w:rFonts w:ascii="Times New Roman" w:eastAsia="Calibri" w:hAnsi="Times New Roman" w:cs="Times New Roman"/>
          <w:b/>
          <w:color w:val="000000"/>
          <w:sz w:val="28"/>
          <w:szCs w:val="28"/>
        </w:rPr>
        <w:t xml:space="preserve"> </w:t>
      </w:r>
      <w:r w:rsidRPr="00453481">
        <w:rPr>
          <w:rFonts w:ascii="Times New Roman" w:eastAsia="Calibri" w:hAnsi="Times New Roman" w:cs="Times New Roman"/>
          <w:b/>
          <w:color w:val="000000"/>
          <w:sz w:val="28"/>
          <w:szCs w:val="28"/>
        </w:rPr>
        <w:t>”</w:t>
      </w:r>
    </w:p>
    <w:p w:rsidR="006810C4" w:rsidRPr="003013E2" w:rsidRDefault="006810C4" w:rsidP="00453481">
      <w:pPr>
        <w:tabs>
          <w:tab w:val="left" w:pos="709"/>
          <w:tab w:val="left" w:pos="851"/>
          <w:tab w:val="left" w:pos="1134"/>
        </w:tabs>
        <w:spacing w:after="0" w:line="276"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Ми, педагоги, батьки та учні, виходимо з того, що: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Головним принципом співпраці всіх учасників освітнього процесу є принцип дитиноцентризму, тобто орієнтація на потреби учня.</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Освітній процес ґрунтується на співпраці педагогів, батьків та учнів. Саме взаємодія в межах трикутника “</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учень-учитель-батьки</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xml:space="preserve">” створює простір для сучасної ефективної освіти.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В основу співпраці між усіма учасниками освітнього процесу мають бути покладені принципи педагогіки партнерства як складника концепції “</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Нова українська школа</w:t>
      </w:r>
      <w:r w:rsidR="00422E07">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(НУШ):</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повага до особистості;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доброзичливість і позитивне ставлення;</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довіра у відносинах;</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діалог – взаємодія – взаємоповага;</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розподілене лідерство (активність, право вибору та відповідальність за нього, горизонтальність зв’язків);</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принцип соціального партнерства (рівність сторін, добровільність прийняття зобов’язань, обов’язковість виконання домовленостей).</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Взаємодія між усіма учасниками освітнього процесу ґрунтується на принципах рівноправності, толерантності, академічної доброчесності, неприпустимості булінгу та психологічного насильства.</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Співпраця має відбуватись на засадах обов’язковості розгляду пропозицій сторін; пріоритету узгоджувальних процедур; прозорості, відкритості та гласності; обов’язковості дотримання досягнутих домовленостей; взаємної відповідальності сторін.</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Дії та поведінка всіх учасників освітнього процесу в шкільному просторі та поза ним ґрунтуються на повазі до прав людини, прав дитини та дотриманні чинного законодавства України.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РОЗДІЛ 1. ПРАВИЛА ТА РЕГЛАМЕНТИ</w:t>
      </w:r>
    </w:p>
    <w:p w:rsidR="006810C4" w:rsidRP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Ми, педагоги, батьки та учні, виходимо з того, що: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Ш</w:t>
      </w:r>
      <w:r w:rsidRPr="003013E2">
        <w:rPr>
          <w:rFonts w:ascii="Times New Roman" w:eastAsia="Calibri" w:hAnsi="Times New Roman" w:cs="Times New Roman"/>
          <w:color w:val="000000"/>
          <w:sz w:val="28"/>
          <w:szCs w:val="28"/>
        </w:rPr>
        <w:t>кола як спільнота та осередок місцевої громади може створити власні правила та регламенти, що не суперечать чинному законодавству. Вони мають бути публічними, всім відомими, загальнодоступними, зрозумілими всім і прийнятними для всіх учасників освітнього процесу в школі. Правила мають ґрунтуватись на загальнолюдських цінностях, принципах демократії та прозорості в ухваленні рішень, рівного доступу до всіх послуг, поваги до різноманітності культур.</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453481"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453481">
        <w:rPr>
          <w:rFonts w:ascii="Times New Roman" w:eastAsia="Calibri" w:hAnsi="Times New Roman" w:cs="Times New Roman"/>
          <w:b/>
          <w:color w:val="000000"/>
          <w:sz w:val="28"/>
          <w:szCs w:val="28"/>
        </w:rPr>
        <w:t>1.1. Робота громадського самоврядування в закладі освіти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Школа є осередком місцевої громади, мета існування якого – освіта і всебічний розвиток учнів, а також осередком спілкування і співпраці для місцевої громади міста, району, села. Низка засадничих рішень у житті школи, зокрема</w:t>
      </w:r>
      <w:r w:rsidR="00453481">
        <w:rPr>
          <w:rFonts w:ascii="Times New Roman" w:eastAsia="Calibri" w:hAnsi="Times New Roman" w:cs="Times New Roman"/>
          <w:color w:val="000000"/>
          <w:sz w:val="28"/>
          <w:szCs w:val="28"/>
        </w:rPr>
        <w:t>, правила</w:t>
      </w:r>
      <w:r w:rsidRPr="003013E2">
        <w:rPr>
          <w:rFonts w:ascii="Times New Roman" w:eastAsia="Calibri" w:hAnsi="Times New Roman" w:cs="Times New Roman"/>
          <w:color w:val="000000"/>
          <w:sz w:val="28"/>
          <w:szCs w:val="28"/>
        </w:rPr>
        <w:t xml:space="preserve"> і регламенти, які не супере</w:t>
      </w:r>
      <w:r w:rsidR="00453481">
        <w:rPr>
          <w:rFonts w:ascii="Times New Roman" w:eastAsia="Calibri" w:hAnsi="Times New Roman" w:cs="Times New Roman"/>
          <w:color w:val="000000"/>
          <w:sz w:val="28"/>
          <w:szCs w:val="28"/>
        </w:rPr>
        <w:t>чать чинному законодавству, можуть</w:t>
      </w:r>
      <w:r w:rsidRPr="003013E2">
        <w:rPr>
          <w:rFonts w:ascii="Times New Roman" w:eastAsia="Calibri" w:hAnsi="Times New Roman" w:cs="Times New Roman"/>
          <w:color w:val="000000"/>
          <w:sz w:val="28"/>
          <w:szCs w:val="28"/>
        </w:rPr>
        <w:t xml:space="preserve"> ухвалюватися на засадах громадського самоврядування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Ключові питання взаємодії між учасниками освітнього процесу в школі вирішуються на Загальних зборах, які формуються з представників шкільного самоврядування педагогів, учнів та батьків. У разі потреби на Загальних зборах для вирішення поточних питань життя школи може бути обрана Координаційна рада, сформована з представників усіх учасників освітнього процесу. Координаційна рада може збиратися за потреби або регулярно – один раз на місяць. Адміністрація школи надає приміщення для роботи органів батьківського та учнівського самоврядування</w:t>
      </w:r>
      <w:r w:rsidR="00453481">
        <w:rPr>
          <w:rFonts w:ascii="Times New Roman" w:eastAsia="Calibri" w:hAnsi="Times New Roman" w:cs="Times New Roman"/>
          <w:color w:val="000000"/>
          <w:sz w:val="28"/>
          <w:szCs w:val="28"/>
        </w:rPr>
        <w:t>(за умов адаптивного карантину –дистанційно чи з врахуванням санітарних вимог)</w:t>
      </w:r>
      <w:r w:rsidRPr="003013E2">
        <w:rPr>
          <w:rFonts w:ascii="Times New Roman" w:eastAsia="Calibri" w:hAnsi="Times New Roman" w:cs="Times New Roman"/>
          <w:color w:val="000000"/>
          <w:sz w:val="28"/>
          <w:szCs w:val="28"/>
        </w:rPr>
        <w:t>.</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Запорука плідної роботи громадського самоврядування в школі – максимальна залученість усіх членів спільноти та ефективна комунікація між ними. Канали комунікації в школі мають бути доступними і зручними для всіх. Члени шкільної спільноти, які не мають можливості користуватися шкільним сайтом та/або месенджерами і сторінками в соцмережах, мають бути забезпечені зручними та зрозумілими для них формами комунікації і зворотного зв’язку на кшталт дошок оголошень у школі, скриньок, куди можна кидати записки з пропозиціями, тощо.</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Показником дієвості громадського самоврядування в школі є налагоджені механізми зворотного зв’язку: забезпечена можливість для обговорень, питань, петицій, голосувань, створення “банку пропозицій та ідей”</w:t>
      </w:r>
      <w:r w:rsidR="00453481">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 xml:space="preserve"> тощо, врахування запитів і пропозицій у подальшій роботі.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Інструментом оцінки ефективності громадського самоврядування в школі може бути процедура самооцінки, яка проводиться за рішенням органів шкільного самоврядування. Самооцінка проходить у вигляді анонімного опитування (анкетування) педагогів, батьків та учнів, що передбачає подальше коригування роботи громадського самоврядування з урахуванням результатів опитування.</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A26B8F"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1.2. Правила та регламенти</w:t>
      </w:r>
    </w:p>
    <w:p w:rsidR="00A26B8F"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Види шкільних правил та їхній зміст кожна шкільна спільнота визначає самостійно. </w:t>
      </w: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Шкільні правила розробляються за участі всіх учасників освітнього процесу та членів колективу школи. Пропозиції акумулюються та обробляються за допомогою органів шкільного самоврядування або, у разі їхньої відсутності, за допомогою уповноважених осіб, після чого вони узгоджуються та ухвалюються на Загальних зборах школи. За потреби в регуляційні документи або їхні частини можна вносити зміни шляхом винесення пропозицій на Загальні збори школи та їх ухвалення. </w:t>
      </w: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Невід’ємним складником правил та регламентів школи є порядок розгляду звернень і скарг, а також шляхи вирішення конфліктів. Конфлікти можуть розв’язуватися за допомогою шкільної служби порозуміння, психолога, класного керівника, керівництва школи. Звернення учасників освітнього процесу до керівництва школи розглядається в якнайкоротші строки.</w:t>
      </w: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Розгляд та розв’язання конфліктів також можуть здійснюватися Координаційною радою або Загальними зборами школи, засновником закладу освіти (</w:t>
      </w:r>
      <w:r w:rsidR="00A26B8F">
        <w:rPr>
          <w:rFonts w:ascii="Times New Roman" w:eastAsia="Calibri" w:hAnsi="Times New Roman" w:cs="Times New Roman"/>
          <w:color w:val="000000"/>
          <w:sz w:val="28"/>
          <w:szCs w:val="28"/>
        </w:rPr>
        <w:t>Бродівська районна рада</w:t>
      </w:r>
      <w:r w:rsidRPr="003013E2">
        <w:rPr>
          <w:rFonts w:ascii="Times New Roman" w:eastAsia="Calibri" w:hAnsi="Times New Roman" w:cs="Times New Roman"/>
          <w:color w:val="000000"/>
          <w:sz w:val="28"/>
          <w:szCs w:val="28"/>
        </w:rPr>
        <w:t>). Шкільна процедура розв’язання конфліктів не позбавляє особу права звернутись до суду або до освіт</w:t>
      </w:r>
      <w:r w:rsidR="00A26B8F">
        <w:rPr>
          <w:rFonts w:ascii="Times New Roman" w:eastAsia="Calibri" w:hAnsi="Times New Roman" w:cs="Times New Roman"/>
          <w:color w:val="000000"/>
          <w:sz w:val="28"/>
          <w:szCs w:val="28"/>
        </w:rPr>
        <w:t>нього омбудсмена</w:t>
      </w:r>
      <w:r w:rsidRPr="003013E2">
        <w:rPr>
          <w:rFonts w:ascii="Times New Roman" w:eastAsia="Calibri" w:hAnsi="Times New Roman" w:cs="Times New Roman"/>
          <w:color w:val="000000"/>
          <w:sz w:val="28"/>
          <w:szCs w:val="28"/>
        </w:rPr>
        <w:t xml:space="preserve">.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Жодне положення цього Меморандуму не звільняє від відповідальності за порушення норм чинного законодавства і не може змінювати прямі норми законодавства щодо юридичної відповідальності.</w:t>
      </w:r>
    </w:p>
    <w:p w:rsidR="006810C4" w:rsidRPr="003013E2" w:rsidRDefault="006810C4" w:rsidP="00A26B8F">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1.3. Принципи фінансування та співфінансування</w:t>
      </w: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Фінансова діяльність шкільної спільноти ґрунтується на принципах відкрито</w:t>
      </w:r>
      <w:r w:rsidR="00A26B8F">
        <w:rPr>
          <w:rFonts w:ascii="Times New Roman" w:eastAsia="Calibri" w:hAnsi="Times New Roman" w:cs="Times New Roman"/>
          <w:color w:val="000000"/>
          <w:sz w:val="28"/>
          <w:szCs w:val="28"/>
        </w:rPr>
        <w:t>сті, зрозумілості та прозорості</w:t>
      </w:r>
      <w:r w:rsidRPr="003013E2">
        <w:rPr>
          <w:rFonts w:ascii="Times New Roman" w:eastAsia="Calibri" w:hAnsi="Times New Roman" w:cs="Times New Roman"/>
          <w:color w:val="000000"/>
          <w:sz w:val="28"/>
          <w:szCs w:val="28"/>
        </w:rPr>
        <w:t>. Можлива співучасть батьків у фінансових витратах школи є добровільною та може бути спрямована переважно на цільові проекти, що слугують покращенню освітнього процесу та розвитку школи як осередку місцевої громади і знайшли підтримку більшості класної або шкільної спільноти.</w:t>
      </w:r>
    </w:p>
    <w:p w:rsidR="006810C4" w:rsidRPr="00A26B8F"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A26B8F">
        <w:rPr>
          <w:rFonts w:ascii="Times New Roman" w:eastAsia="Calibri" w:hAnsi="Times New Roman" w:cs="Times New Roman"/>
          <w:b/>
          <w:color w:val="000000"/>
          <w:sz w:val="28"/>
          <w:szCs w:val="28"/>
        </w:rPr>
        <w:t xml:space="preserve">1.3.1. Фінансування коштом державного та місцевого бюджетів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Усі члени шкільної спільноти мають вільний доступ до інформації про кошторис і фінансовий звіт школи. Окрім інформації про надходження й використання всіх отриманих коштів, адміністрація школи має надавати інформацію про запити на фінансування до засновників школи, місцевої влади, спонсорів тощо, а також відповіді на них.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Інформація про всі матеріальні цінності, отримані школою від батьків чи благодійних організацій, має бути опублікована на сайті школи. Керівництво закладу освіти обліковує їх відповідно до законодавства та зобов’язується використовувати їх лише в інтересах школи.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Адміністрація школи бере на себе зобов’язання подавати всю фінансову інформацію (або інформацію про всі кошти, які отримує школа з різних джерел) вчасно, достовірно і доступно для розуміння будь-якому учаснику освітнього процесу. Питання щодо кошторису та фінансового звіту вирішуються через звернення до адміністрації школи або районного </w:t>
      </w:r>
      <w:r w:rsidR="00A26B8F">
        <w:rPr>
          <w:rFonts w:ascii="Times New Roman" w:eastAsia="Calibri" w:hAnsi="Times New Roman" w:cs="Times New Roman"/>
          <w:color w:val="000000"/>
          <w:sz w:val="28"/>
          <w:szCs w:val="28"/>
        </w:rPr>
        <w:t>відділу</w:t>
      </w:r>
      <w:r w:rsidRPr="003013E2">
        <w:rPr>
          <w:rFonts w:ascii="Times New Roman" w:eastAsia="Calibri" w:hAnsi="Times New Roman" w:cs="Times New Roman"/>
          <w:color w:val="000000"/>
          <w:sz w:val="28"/>
          <w:szCs w:val="28"/>
        </w:rPr>
        <w:t xml:space="preserve"> освіти.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Раз на рік директор публічно звітує про виконання річного плану школи та презентує план розвитку школи на наступний, а також пов’язані з цим планом очікувані фінансові потреби.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A26B8F"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A26B8F">
        <w:rPr>
          <w:rFonts w:ascii="Times New Roman" w:eastAsia="Calibri" w:hAnsi="Times New Roman" w:cs="Times New Roman"/>
          <w:b/>
          <w:color w:val="000000"/>
          <w:sz w:val="28"/>
          <w:szCs w:val="28"/>
        </w:rPr>
        <w:t xml:space="preserve">1.3.2. Додаткове співфінансування силами батьків </w:t>
      </w:r>
    </w:p>
    <w:p w:rsidR="006810C4" w:rsidRPr="00A26B8F"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Основною метою додаткового співфінансування силами батьків  можуть стати цільові проекти, гроші на які збираються за принципом відкритого оголошення. Проект можуть оголосити адміністрація школи, вчитель, батьки або учні. Проект виноситься на розгляд спільноти (класу або школи) і реалізується, якщо отримує належне фінансування на добровільних засадах. Кожен з членів батьківської спільноти самостійно вирішує, чи бажає фінансово підтримати проект</w:t>
      </w:r>
      <w:r w:rsidR="00A26B8F">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Обов’язковою умовою такого співфінансування є оприлюднення переліку потреб та їхньої вартості.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Можливе співфінансування силами батьків здійснюється за принципами: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 </w:t>
      </w:r>
      <w:r w:rsidRPr="006810C4">
        <w:rPr>
          <w:rFonts w:ascii="Times New Roman" w:eastAsia="Calibri" w:hAnsi="Times New Roman" w:cs="Times New Roman"/>
          <w:b/>
          <w:color w:val="000000"/>
          <w:sz w:val="28"/>
          <w:szCs w:val="28"/>
        </w:rPr>
        <w:t>добровільності:</w:t>
      </w:r>
      <w:r w:rsidRPr="003013E2">
        <w:rPr>
          <w:rFonts w:ascii="Times New Roman" w:eastAsia="Calibri" w:hAnsi="Times New Roman" w:cs="Times New Roman"/>
          <w:color w:val="000000"/>
          <w:sz w:val="28"/>
          <w:szCs w:val="28"/>
        </w:rPr>
        <w:t xml:space="preserve"> ніхто не може нікого примусити здавати гроші на будь-що;</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 </w:t>
      </w:r>
      <w:r w:rsidRPr="006810C4">
        <w:rPr>
          <w:rFonts w:ascii="Times New Roman" w:eastAsia="Calibri" w:hAnsi="Times New Roman" w:cs="Times New Roman"/>
          <w:b/>
          <w:color w:val="000000"/>
          <w:sz w:val="28"/>
          <w:szCs w:val="28"/>
        </w:rPr>
        <w:t>конфіденційності:</w:t>
      </w:r>
      <w:r w:rsidRPr="003013E2">
        <w:rPr>
          <w:rFonts w:ascii="Times New Roman" w:eastAsia="Calibri" w:hAnsi="Times New Roman" w:cs="Times New Roman"/>
          <w:color w:val="000000"/>
          <w:sz w:val="28"/>
          <w:szCs w:val="28"/>
        </w:rPr>
        <w:t xml:space="preserve"> без згоди людини ніхто не має права публічно оголошувати, узяла вона участь у співфінансуванні чи ні;</w:t>
      </w: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3013E2">
        <w:rPr>
          <w:rFonts w:ascii="Times New Roman" w:eastAsia="Calibri" w:hAnsi="Times New Roman" w:cs="Times New Roman"/>
          <w:color w:val="000000"/>
          <w:sz w:val="28"/>
          <w:szCs w:val="28"/>
        </w:rPr>
        <w:t xml:space="preserve">- </w:t>
      </w:r>
      <w:r w:rsidRPr="006810C4">
        <w:rPr>
          <w:rFonts w:ascii="Times New Roman" w:eastAsia="Calibri" w:hAnsi="Times New Roman" w:cs="Times New Roman"/>
          <w:b/>
          <w:color w:val="000000"/>
          <w:sz w:val="28"/>
          <w:szCs w:val="28"/>
        </w:rPr>
        <w:t>прозорої та регулярної звітності.</w:t>
      </w: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p>
    <w:p w:rsidR="006810C4" w:rsidRPr="003013E2" w:rsidRDefault="00A26B8F"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810C4" w:rsidRPr="003013E2">
        <w:rPr>
          <w:rFonts w:ascii="Times New Roman" w:eastAsia="Calibri" w:hAnsi="Times New Roman" w:cs="Times New Roman"/>
          <w:color w:val="000000"/>
          <w:sz w:val="28"/>
          <w:szCs w:val="28"/>
        </w:rPr>
        <w:t>Якщо батьки вирішили передати школі будь-які матеріальні цінності, останні мають бути взяті на облік за актом приймання-передачі з визначенням їхньої балансової вартості.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Батьки мають можливість контролювати та перевіряти реальні потреби ш</w:t>
      </w:r>
      <w:r w:rsidR="00A26B8F">
        <w:rPr>
          <w:rFonts w:ascii="Times New Roman" w:eastAsia="Calibri" w:hAnsi="Times New Roman" w:cs="Times New Roman"/>
          <w:color w:val="000000"/>
          <w:sz w:val="28"/>
          <w:szCs w:val="28"/>
        </w:rPr>
        <w:t xml:space="preserve">коли в їхньому спів фінансуванні. </w:t>
      </w:r>
      <w:r w:rsidRPr="003013E2">
        <w:rPr>
          <w:rFonts w:ascii="Times New Roman" w:eastAsia="Calibri" w:hAnsi="Times New Roman" w:cs="Times New Roman"/>
          <w:color w:val="000000"/>
          <w:sz w:val="28"/>
          <w:szCs w:val="28"/>
        </w:rPr>
        <w:t xml:space="preserve">Перевірити адекватність тендерних закупівель можна через сайт ProZorro. </w:t>
      </w:r>
    </w:p>
    <w:p w:rsidR="00A26B8F" w:rsidRPr="003013E2" w:rsidRDefault="00A26B8F"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РОЗДІЛ 2. ПІДВИЩЕННЯ ЕФЕКТИВНОСТІ ОСВІТНЬОГО ПРОЦЕСУ</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Ми, педагоги, батьки та учні, виходимо з того, що:</w:t>
      </w:r>
    </w:p>
    <w:p w:rsidR="006810C4" w:rsidRPr="003013E2" w:rsidRDefault="00A26B8F"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w:t>
      </w:r>
      <w:r w:rsidR="006810C4" w:rsidRPr="003013E2">
        <w:rPr>
          <w:rFonts w:ascii="Times New Roman" w:eastAsia="Calibri" w:hAnsi="Times New Roman" w:cs="Times New Roman"/>
          <w:color w:val="000000"/>
          <w:sz w:val="28"/>
          <w:szCs w:val="28"/>
        </w:rPr>
        <w:t>світній процес має бути спрямований на всебічний розвиток і подальшу успішну самореалізацію учня в дорослому житті – як особистості, громадянина й фахівця.</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A26B8F"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A26B8F">
        <w:rPr>
          <w:rFonts w:ascii="Times New Roman" w:eastAsia="Calibri" w:hAnsi="Times New Roman" w:cs="Times New Roman"/>
          <w:b/>
          <w:color w:val="000000"/>
          <w:sz w:val="28"/>
          <w:szCs w:val="28"/>
        </w:rPr>
        <w:t>2.1. Організація освітнього процесу в межах навчальної діяльності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Організація освітнього процесу ґрунтується перш за все на академічній свободі вчителя, праві вільного вибору ним форм, методів та засобів навчання і праві вчителя на педагогічну ініціативу. Адміністрація школи, батьківська та учнівська спільноти мають усебічно сприяти реалізації цих прав вчителя.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Водночас батьки та учні (старшокласники) можуть бути ініціаторами та/або брати участь у низці питань організації освітнього процесу, зокрема: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у межах Типового робочого плану колективно обирати предмети варіативного складника освітньої програми з урахуванням запитів більшості або профорієнтаційних перспектив;</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подавати загальношкільні, класні або індивідуальні заявки на освітні, соціальні й культурні гранти;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залучати батьків до організації майстер-класів та лекцій про різні спеціальності, а також екскурсій на виробництва, в офіси тощо; шукати можливості для отримання якомога ширшої інформації про сучасні професії та соціальні компетентності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Важливою умовою ефективності освітнього процесу є неупереджене, прозоре та зрозуміле оцінювання. Критерії оцінювання усних та письмових відповідей, контрольних, самостійних робіт, рефератів, проектів тощо є прозорими, справедливими та зрозумілими для всіх. Затверджені МОН критерії оцінювання, мають бути вивішені в класах, на інформаційній дошці в школі, розміщені на сайті школи тощо. </w:t>
      </w:r>
    </w:p>
    <w:p w:rsidR="006810C4" w:rsidRPr="003013E2" w:rsidRDefault="006810C4" w:rsidP="00A26B8F">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2.2. Організація освітнього процесу поза межами навчальної діяльності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Позаурочна діяльність має бути спрямована на: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всебічний розвиток учнів, зокрема їхнього емоційного інтелекту, комунікаційних навичок, ініціативності та творчості;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 виявлення і розвиток талантів;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налагодження та укріплення партнерських зв’язків між членами спільноти: батьками, педагогами та дітьми. Вітається і заохочується будь-яка спільна діяльність батьків і дітей, батьків і вчителів, педагогів і дітей та всіх разом: наставництво старшокласників над учнями молодших класів, “</w:t>
      </w:r>
      <w:r w:rsidR="00A26B8F">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школа для батьків</w:t>
      </w:r>
      <w:r w:rsidR="00A26B8F">
        <w:rPr>
          <w:rFonts w:ascii="Times New Roman" w:eastAsia="Calibri" w:hAnsi="Times New Roman" w:cs="Times New Roman"/>
          <w:color w:val="000000"/>
          <w:sz w:val="28"/>
          <w:szCs w:val="28"/>
        </w:rPr>
        <w:t xml:space="preserve"> </w:t>
      </w:r>
      <w:r w:rsidRPr="003013E2">
        <w:rPr>
          <w:rFonts w:ascii="Times New Roman" w:eastAsia="Calibri" w:hAnsi="Times New Roman" w:cs="Times New Roman"/>
          <w:color w:val="000000"/>
          <w:sz w:val="28"/>
          <w:szCs w:val="28"/>
        </w:rPr>
        <w:t>” під проводом учителів або адміністрації школи, гуртки, лекції та інша освітня активність для освітян і батьків, спільне дозвілля, екскурсії тощо.</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Усім учням має бути надана можливість спробувати себе в творчих видах діяльності та взяти участь у відповідних конкурсах, виставах, змаганнях тощо: критеріями участі в творчих конкурсах є не наявність відповідних навичок, а виключно бажання учня. Форма і зміст таких заходів обираються та плануються спільно з учнями; пріоритетом у виборі форм позаурочної творчої активності є побажання учнів.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У позаурочний час учні за бажанням можуть брати участь в олімпіадах з навчальних предметів; відповідний учитель надає допомогу в підготовці. Успішна участь в олімпіадах не є обов’язком учнів; будь-який результат на олімпіаді або відмова від участі не можуть бути причиною засудження чи покарання з боку вчителя або адміністрації школи.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Запорукою добровільної участі в позаурочній діяльності є її відкрита програма та попереднє оголошення загальношкільних учнівських заходів, що обговорюється та пропонується заздалегідь на кожен місяць, чверть або семестр. Такий порядок дає можливість охочим заздалегідь визначитись, у яких видах позаурочної діяльності вони б хотіли взяти участь. Учні та батьки можуть вносити свої пропозиції на наступний рік і брати участь у складанні програми заходів.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Механізмом перевірки ефективності позаурочної діяльності в школі може бути опитування (анкетування) педагогів, батьків та учнів, що передбачає подальше коригування роботи з урахуванням результатів опитування.</w:t>
      </w:r>
    </w:p>
    <w:p w:rsidR="006810C4" w:rsidRPr="003013E2" w:rsidRDefault="006810C4" w:rsidP="00A26B8F">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РОЗДІЛ 3. БЕЗПЕКА В ШКОЛІ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A26B8F">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Ми, педагоги, батьки та учні, виходимо з того, що:</w:t>
      </w:r>
    </w:p>
    <w:p w:rsidR="006810C4" w:rsidRPr="003013E2" w:rsidRDefault="00A26B8F"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w:t>
      </w:r>
      <w:r w:rsidR="006810C4" w:rsidRPr="003013E2">
        <w:rPr>
          <w:rFonts w:ascii="Times New Roman" w:eastAsia="Calibri" w:hAnsi="Times New Roman" w:cs="Times New Roman"/>
          <w:color w:val="000000"/>
          <w:sz w:val="28"/>
          <w:szCs w:val="28"/>
        </w:rPr>
        <w:t xml:space="preserve">бов’язковим елементом освітнього процесу в шкільному середовищі є задовільнення для всіх його учасників на належному рівні основних потреб людини (зокрема фізіологічних, соціальних та потреб у безпеці – фізичній і психологічній).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3.1. Сприятливе фізичне середовище</w:t>
      </w: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 Адміністрація школи в співпраці з усією шкільною спільнотою розробляє методи </w:t>
      </w:r>
      <w:r w:rsidR="00A26B8F">
        <w:rPr>
          <w:rFonts w:ascii="Times New Roman" w:eastAsia="Calibri" w:hAnsi="Times New Roman" w:cs="Times New Roman"/>
          <w:color w:val="000000"/>
          <w:sz w:val="28"/>
          <w:szCs w:val="28"/>
        </w:rPr>
        <w:t>та шляхи забезпечення задовільних</w:t>
      </w:r>
      <w:r w:rsidRPr="003013E2">
        <w:rPr>
          <w:rFonts w:ascii="Times New Roman" w:eastAsia="Calibri" w:hAnsi="Times New Roman" w:cs="Times New Roman"/>
          <w:color w:val="000000"/>
          <w:sz w:val="28"/>
          <w:szCs w:val="28"/>
        </w:rPr>
        <w:t xml:space="preserve"> основних фізичних потреб у шкільному середовищі.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Серед основних фізичних потреб усіх учасників освітнього процесу в шкільному середовищі є такі: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вільний доступ до свіжого повітря. Школа має забезпечити наявність свіжого повітря в класах під час занять, регулярне провітрювання класів під час перерви та можливість прогулянок дітей на шкільному подвір’ї під час перерв;</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вільний доступ до питної води всім учасникам освітнього процесу в школі.</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вільний доступ до туалету. Шкільні туалети мають відповідати потребам людини в повазі до її гідності та сучасним гігієнічним нормам. Туалети мають бути облаштовані індивідуальними кабінками з дверима, що зачиняються, сучасними сантехнічними системами, забезпечені туалетним папером, водою та милом для миття рук;</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доступна якісна їжа. У школі має бути організовано гаряче харчування. Одним з критеріїв вибору оператора, що організовує роботу шкільної їдальні, має стати надання сучасного збалансованого харчування. Вітається також осучаснення інтер’єру їдальні, посуду та естетики подачі страв, а також забезпечення вибору учнями страв з урахуванням їхніх смаків.</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надання домедичної допомоги в разі потреби.</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 xml:space="preserve">3.2. Безпечне та комфортне психосоціальне середовище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Усі учасники освітнього процесу підтримують дружню, заохочувальну і комфортну атмосферу в школі та в освітньому просторі, ставляться один до одного з повагою. Психологічне насильство та булінг є неприпустимими в стосунках між усім</w:t>
      </w:r>
      <w:r w:rsidR="005D2618">
        <w:rPr>
          <w:rFonts w:ascii="Times New Roman" w:eastAsia="Calibri" w:hAnsi="Times New Roman" w:cs="Times New Roman"/>
          <w:color w:val="000000"/>
          <w:sz w:val="28"/>
          <w:szCs w:val="28"/>
        </w:rPr>
        <w:t>а учасниками освітнього процесу</w:t>
      </w:r>
      <w:r w:rsidRPr="003013E2">
        <w:rPr>
          <w:rFonts w:ascii="Times New Roman" w:eastAsia="Calibri" w:hAnsi="Times New Roman" w:cs="Times New Roman"/>
          <w:color w:val="000000"/>
          <w:sz w:val="28"/>
          <w:szCs w:val="28"/>
        </w:rPr>
        <w:t>. Правила школи та регламенти взаємодії учасників освітнього процесу мають передбачати комфортне психологічне середовище для всіх і кожного.</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У школі організовується психологічна та соціально-педагогічна підтримка для учнів. Психологічна служба в школі має бути забезпечена організаційними можливостями для ефективної роботи. Необхідне виділення окремого кабінету для роботи шкільного психолога. У школі також може бути скринька для анонімних звернень до психолога.</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 xml:space="preserve">Під час перебування в школі вчителі та учні повинні мати простір і час для відпочинку та психологічного розвантаження. Разом з простором для відпочинку педагогів (вчительською кімнатою) в школі має бути створений простір для психологічного розвантаження та відпочинку учнів.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Інструментом вимірювання рівня психологічного комфорту в школі може стати анкетування всіх учасників освітнього процесу.</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w:t>
      </w:r>
      <w:r w:rsidRPr="003013E2">
        <w:rPr>
          <w:rFonts w:ascii="Times New Roman" w:eastAsia="Calibri" w:hAnsi="Times New Roman" w:cs="Times New Roman"/>
          <w:color w:val="000000"/>
          <w:sz w:val="28"/>
          <w:szCs w:val="28"/>
        </w:rPr>
        <w:tab/>
        <w:t>Проблеми з порушенням правил дружності та взаємоповаги в школі вирішуються на рівні адміністрації школи. Розгляд та розв’язання конфліктів також можуть здійснюватися Координаційною радою або Загальними зборами школи, засновником закладу освіти (</w:t>
      </w:r>
      <w:r w:rsidR="005D2618">
        <w:rPr>
          <w:rFonts w:ascii="Times New Roman" w:eastAsia="Calibri" w:hAnsi="Times New Roman" w:cs="Times New Roman"/>
          <w:color w:val="000000"/>
          <w:sz w:val="28"/>
          <w:szCs w:val="28"/>
        </w:rPr>
        <w:t>Бродівська районна рада</w:t>
      </w:r>
      <w:r w:rsidRPr="003013E2">
        <w:rPr>
          <w:rFonts w:ascii="Times New Roman" w:eastAsia="Calibri" w:hAnsi="Times New Roman" w:cs="Times New Roman"/>
          <w:color w:val="000000"/>
          <w:sz w:val="28"/>
          <w:szCs w:val="28"/>
        </w:rPr>
        <w:t xml:space="preserve">). Шкільна процедура розв’язання конфліктів не позбавляє особу права звернутись до суду або до освітнього омбудсмена. </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6810C4" w:rsidRDefault="006810C4" w:rsidP="006810C4">
      <w:pPr>
        <w:tabs>
          <w:tab w:val="left" w:pos="709"/>
          <w:tab w:val="left" w:pos="851"/>
          <w:tab w:val="left" w:pos="1134"/>
        </w:tabs>
        <w:spacing w:after="0" w:line="240" w:lineRule="auto"/>
        <w:ind w:left="284"/>
        <w:jc w:val="center"/>
        <w:rPr>
          <w:rFonts w:ascii="Times New Roman" w:eastAsia="Calibri" w:hAnsi="Times New Roman" w:cs="Times New Roman"/>
          <w:b/>
          <w:color w:val="000000"/>
          <w:sz w:val="28"/>
          <w:szCs w:val="28"/>
        </w:rPr>
      </w:pPr>
      <w:r w:rsidRPr="006810C4">
        <w:rPr>
          <w:rFonts w:ascii="Times New Roman" w:eastAsia="Calibri" w:hAnsi="Times New Roman" w:cs="Times New Roman"/>
          <w:b/>
          <w:color w:val="000000"/>
          <w:sz w:val="28"/>
          <w:szCs w:val="28"/>
        </w:rPr>
        <w:t>ПРИКІНЦЕВІ ПОЛОЖЕННЯ</w:t>
      </w:r>
    </w:p>
    <w:p w:rsidR="006810C4" w:rsidRPr="003013E2" w:rsidRDefault="006810C4" w:rsidP="005D2618">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Цей документ ухвалюється після його обговорення на Загальних зборах або в інший спосіб, який передбачає активність усіх учасників освітнього процесу.</w:t>
      </w: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r w:rsidRPr="003013E2">
        <w:rPr>
          <w:rFonts w:ascii="Times New Roman" w:eastAsia="Calibri" w:hAnsi="Times New Roman" w:cs="Times New Roman"/>
          <w:color w:val="000000"/>
          <w:sz w:val="28"/>
          <w:szCs w:val="28"/>
        </w:rPr>
        <w:t xml:space="preserve">Документ вважається схваленим, якщо його підписують уповноважені представники батьків, учнів та педагогів, або ж відповідне рішення може бути зафіксоване протоколом Загальних зборів школи. </w:t>
      </w:r>
    </w:p>
    <w:p w:rsidR="006810C4" w:rsidRPr="003013E2" w:rsidRDefault="006810C4" w:rsidP="006810C4">
      <w:pPr>
        <w:tabs>
          <w:tab w:val="left" w:pos="709"/>
          <w:tab w:val="left" w:pos="851"/>
          <w:tab w:val="left" w:pos="1134"/>
        </w:tabs>
        <w:spacing w:after="0" w:line="240" w:lineRule="auto"/>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6810C4" w:rsidRPr="003013E2" w:rsidRDefault="006810C4" w:rsidP="006810C4">
      <w:pPr>
        <w:tabs>
          <w:tab w:val="left" w:pos="709"/>
          <w:tab w:val="left" w:pos="851"/>
          <w:tab w:val="left" w:pos="1134"/>
        </w:tabs>
        <w:spacing w:after="0" w:line="240" w:lineRule="auto"/>
        <w:ind w:left="284"/>
        <w:jc w:val="both"/>
        <w:rPr>
          <w:rFonts w:ascii="Times New Roman" w:eastAsia="Calibri" w:hAnsi="Times New Roman" w:cs="Times New Roman"/>
          <w:color w:val="000000"/>
          <w:sz w:val="28"/>
          <w:szCs w:val="28"/>
        </w:rPr>
      </w:pPr>
    </w:p>
    <w:p w:rsidR="00FC5A65" w:rsidRDefault="00FC5A65"/>
    <w:sectPr w:rsidR="00FC5A65" w:rsidSect="00A26B8F">
      <w:type w:val="continuous"/>
      <w:pgSz w:w="11906" w:h="16838"/>
      <w:pgMar w:top="568" w:right="849"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118" w:rsidRDefault="00331118" w:rsidP="00921EF8">
      <w:pPr>
        <w:spacing w:after="0" w:line="240" w:lineRule="auto"/>
      </w:pPr>
      <w:r>
        <w:separator/>
      </w:r>
    </w:p>
  </w:endnote>
  <w:endnote w:type="continuationSeparator" w:id="0">
    <w:p w:rsidR="00331118" w:rsidRDefault="00331118" w:rsidP="00921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238378"/>
      <w:docPartObj>
        <w:docPartGallery w:val="Page Numbers (Bottom of Page)"/>
        <w:docPartUnique/>
      </w:docPartObj>
    </w:sdtPr>
    <w:sdtContent>
      <w:p w:rsidR="004B4D52" w:rsidRDefault="00921EF8">
        <w:pPr>
          <w:pStyle w:val="a3"/>
          <w:jc w:val="right"/>
        </w:pPr>
        <w:r>
          <w:fldChar w:fldCharType="begin"/>
        </w:r>
        <w:r w:rsidR="006810C4">
          <w:instrText>PAGE   \* MERGEFORMAT</w:instrText>
        </w:r>
        <w:r>
          <w:fldChar w:fldCharType="separate"/>
        </w:r>
        <w:r w:rsidR="00331118" w:rsidRPr="00331118">
          <w:rPr>
            <w:noProof/>
            <w:lang w:val="ru-RU"/>
          </w:rPr>
          <w:t>1</w:t>
        </w:r>
        <w:r>
          <w:fldChar w:fldCharType="end"/>
        </w:r>
      </w:p>
    </w:sdtContent>
  </w:sdt>
  <w:p w:rsidR="004B4D52" w:rsidRDefault="003311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118" w:rsidRDefault="00331118" w:rsidP="00921EF8">
      <w:pPr>
        <w:spacing w:after="0" w:line="240" w:lineRule="auto"/>
      </w:pPr>
      <w:r>
        <w:separator/>
      </w:r>
    </w:p>
  </w:footnote>
  <w:footnote w:type="continuationSeparator" w:id="0">
    <w:p w:rsidR="00331118" w:rsidRDefault="00331118" w:rsidP="00921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hyphenationZone w:val="425"/>
  <w:characterSpacingControl w:val="doNotCompress"/>
  <w:savePreviewPicture/>
  <w:footnotePr>
    <w:footnote w:id="-1"/>
    <w:footnote w:id="0"/>
  </w:footnotePr>
  <w:endnotePr>
    <w:endnote w:id="-1"/>
    <w:endnote w:id="0"/>
  </w:endnotePr>
  <w:compat/>
  <w:rsids>
    <w:rsidRoot w:val="006810C4"/>
    <w:rsid w:val="00331118"/>
    <w:rsid w:val="00422E07"/>
    <w:rsid w:val="004324A5"/>
    <w:rsid w:val="00453481"/>
    <w:rsid w:val="00457FD7"/>
    <w:rsid w:val="005D2618"/>
    <w:rsid w:val="006810C4"/>
    <w:rsid w:val="00870008"/>
    <w:rsid w:val="00921EF8"/>
    <w:rsid w:val="00A26B8F"/>
    <w:rsid w:val="00C8181F"/>
    <w:rsid w:val="00D03551"/>
    <w:rsid w:val="00F14B6F"/>
    <w:rsid w:val="00FC5A65"/>
    <w:rsid w:val="00FD28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C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810C4"/>
    <w:pPr>
      <w:tabs>
        <w:tab w:val="center" w:pos="4819"/>
        <w:tab w:val="right" w:pos="9639"/>
      </w:tabs>
      <w:spacing w:after="0" w:line="240" w:lineRule="auto"/>
    </w:pPr>
  </w:style>
  <w:style w:type="character" w:customStyle="1" w:styleId="a4">
    <w:name w:val="Нижній колонтитул Знак"/>
    <w:basedOn w:val="a0"/>
    <w:link w:val="a3"/>
    <w:uiPriority w:val="99"/>
    <w:rsid w:val="006810C4"/>
  </w:style>
  <w:style w:type="paragraph" w:styleId="a5">
    <w:name w:val="List Paragraph"/>
    <w:basedOn w:val="a"/>
    <w:uiPriority w:val="34"/>
    <w:qFormat/>
    <w:rsid w:val="00A26B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11862</Words>
  <Characters>6762</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2020-09-16T13:53:00Z</dcterms:created>
  <dcterms:modified xsi:type="dcterms:W3CDTF">2020-10-08T13:38:00Z</dcterms:modified>
</cp:coreProperties>
</file>